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tbl>
      <w:tblPr>
        <w:tblpPr w:bottomFromText="0" w:horzAnchor="margin" w:leftFromText="180" w:rightFromText="180" w:tblpX="0" w:tblpXSpec="" w:tblpY="4921" w:tblpYSpec="" w:topFromText="0" w:vertAnchor="page"/>
        <w:tblW w:w="9355" w:type="dxa"/>
        <w:jc w:val="left"/>
        <w:tblInd w:w="30" w:type="dxa"/>
        <w:tblBorders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8"/>
        <w:gridCol w:w="4509"/>
        <w:gridCol w:w="1069"/>
        <w:gridCol w:w="1605"/>
        <w:gridCol w:w="1624"/>
      </w:tblGrid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Кол-во/вес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Ед.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Цена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КОВ-1750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1/19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4 480,00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КОВ-2000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1/21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4 620,00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КОВ-2250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1/23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4 760,00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КОВ-2500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1/25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4 900,00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КОВ-2750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1/27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5 040,00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КОВ-3000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1/29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5 180,00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КОВ-3250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1/31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5 320,00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КОВ-3500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1/33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5 460,00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КОВ-3750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1/35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5 600,00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КОВ-4000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1/37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5 880,00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Колонка водоразборная КОВ-4250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1/39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6 160,00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КОВ-4500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1/41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6 440,00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КОВ-4750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1/43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6 720,00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КОВ-5000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1/45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7 000,00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КОВ-5250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1/47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7 280,00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КОВ-5500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1/49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7 700,00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КОВ-5750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1/51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8 120,00</w:t>
            </w:r>
            <w:r/>
          </w:p>
        </w:tc>
      </w:tr>
      <w:tr>
        <w:trPr/>
        <w:tc>
          <w:tcPr>
            <w:tcW w:w="5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4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Колонка водоразборная КОВ-6000</w:t>
            </w:r>
            <w:r/>
          </w:p>
        </w:tc>
        <w:tc>
          <w:tcPr>
            <w:tcW w:w="106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1/53</w:t>
            </w:r>
            <w:r/>
          </w:p>
        </w:tc>
        <w:tc>
          <w:tcPr>
            <w:tcW w:w="160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  <w:r/>
          </w:p>
        </w:tc>
        <w:tc>
          <w:tcPr>
            <w:tcW w:w="16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center"/>
            </w:pPr>
            <w:r>
              <w:rPr>
                <w:sz w:val="20"/>
                <w:szCs w:val="20"/>
                <w:lang w:eastAsia="ru-RU"/>
              </w:rPr>
              <w:t>8 820,00</w:t>
            </w:r>
            <w:r/>
          </w:p>
        </w:tc>
      </w:tr>
    </w:tbl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  <w:t>Розничные цены ООО «КУБОМЕТР на:</w:t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lang w:eastAsia="zh-CN"/>
        </w:rPr>
      </w:pPr>
      <w:r>
        <w:rPr/>
        <w:t>Колонка водоразборная КОВ (КВ-4) Сталь</w:t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</w:pPr>
      <w:r>
        <w:rPr>
          <w:b/>
          <w:bCs/>
        </w:rPr>
        <w:t>В</w:t>
      </w:r>
      <w:bookmarkStart w:id="0" w:name="_GoBack"/>
      <w:bookmarkEnd w:id="0"/>
      <w:r>
        <w:rPr>
          <w:b/>
          <w:bCs/>
        </w:rPr>
        <w:t xml:space="preserve">се цены указаны с НДС </w:t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spacing w:lineRule="auto" w:line="240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sz w:val="24"/>
          <w:szCs w:val="24"/>
          <w:lang w:eastAsia="zh-CN"/>
        </w:rPr>
      </w:r>
      <w:r/>
    </w:p>
    <w:p>
      <w:pPr>
        <w:pStyle w:val="Normal"/>
        <w:widowControl w:val="false"/>
        <w:tabs>
          <w:tab w:val="left" w:pos="4500" w:leader="none"/>
          <w:tab w:val="left" w:pos="5040" w:leader="none"/>
          <w:tab w:val="left" w:pos="5400" w:leader="none"/>
          <w:tab w:val="left" w:pos="6480" w:leader="none"/>
          <w:tab w:val="left" w:pos="9781" w:leader="none"/>
        </w:tabs>
        <w:suppressAutoHyphens w:val="false"/>
        <w:ind w:right="8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850" w:header="0" w:top="303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-1701" w:hanging="0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ru-RU" w:eastAsia="zh-CN" w:bidi="ar-SA"/>
      </w:rPr>
    </w:pPr>
    <w:r>
      <w:rPr>
        <w:sz w:val="24"/>
        <w:szCs w:val="24"/>
        <w:lang w:eastAsia="zh-CN"/>
      </w:rPr>
    </w:r>
    <w:r/>
  </w:p>
  <w:p>
    <w:pPr>
      <w:pStyle w:val="Style27"/>
      <w:ind w:left="-1701" w:hanging="0"/>
    </w:pPr>
    <w:r>
      <w:rPr/>
      <w:drawing>
        <wp:inline distT="0" distB="0" distL="0" distR="0">
          <wp:extent cx="7620635" cy="107696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-1701" w:hanging="0"/>
    </w:pPr>
    <w:r>
      <w:rPr/>
      <w:drawing>
        <wp:inline distT="0" distB="0" distL="0" distR="0">
          <wp:extent cx="7782560" cy="144843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44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pPr>
      <w:keepNext/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OpenSymbol"/>
    </w:rPr>
  </w:style>
  <w:style w:type="character" w:styleId="WW8Num3z0" w:customStyle="1">
    <w:name w:val="WW8Num3z0"/>
    <w:rPr>
      <w:rFonts w:ascii="Symbol" w:hAnsi="Symbol" w:cs="OpenSymbol"/>
      <w:shd w:fill="FFFFFF" w:val="clear"/>
      <w:lang w:val="en-US"/>
    </w:rPr>
  </w:style>
  <w:style w:type="character" w:styleId="WW8Num4z0" w:customStyle="1">
    <w:name w:val="WW8Num4z0"/>
    <w:rPr>
      <w:rFonts w:ascii="Symbol" w:hAnsi="Symbol" w:cs="OpenSymbol"/>
      <w:shd w:fill="FFFFFF" w:val="clear"/>
      <w:lang w:val="en-US"/>
    </w:rPr>
  </w:style>
  <w:style w:type="character" w:styleId="WW8Num5z0" w:customStyle="1">
    <w:name w:val="WW8Num5z0"/>
    <w:rPr>
      <w:rFonts w:ascii="Symbol" w:hAnsi="Symbol" w:cs="OpenSymbol"/>
      <w:lang w:val="en-US"/>
    </w:rPr>
  </w:style>
  <w:style w:type="character" w:styleId="3" w:customStyle="1">
    <w:name w:val="Основной шрифт абзаца3"/>
    <w:rPr/>
  </w:style>
  <w:style w:type="character" w:styleId="WW8Num1zfalse" w:customStyle="1">
    <w:name w:val="WW8Num1zfalse"/>
    <w:rPr/>
  </w:style>
  <w:style w:type="character" w:styleId="WW8Num1ztrue" w:customStyle="1">
    <w:name w:val="WW8Num1ztrue"/>
    <w:rPr/>
  </w:style>
  <w:style w:type="character" w:styleId="WWWW8Num1ztrue" w:customStyle="1">
    <w:name w:val="WW-WW8Num1ztrue"/>
    <w:rPr/>
  </w:style>
  <w:style w:type="character" w:styleId="WWWW8Num1ztrue1" w:customStyle="1">
    <w:name w:val="WW-WW8Num1ztrue1"/>
    <w:rPr/>
  </w:style>
  <w:style w:type="character" w:styleId="WWWW8Num1ztrue12" w:customStyle="1">
    <w:name w:val="WW-WW8Num1ztrue12"/>
    <w:rPr/>
  </w:style>
  <w:style w:type="character" w:styleId="WWWW8Num1ztrue123" w:customStyle="1">
    <w:name w:val="WW-WW8Num1ztrue123"/>
    <w:rPr/>
  </w:style>
  <w:style w:type="character" w:styleId="WWWW8Num1ztrue1234" w:customStyle="1">
    <w:name w:val="WW-WW8Num1ztrue1234"/>
    <w:rPr/>
  </w:style>
  <w:style w:type="character" w:styleId="WWWW8Num1ztrue12345" w:customStyle="1">
    <w:name w:val="WW-WW8Num1ztrue12345"/>
    <w:rPr/>
  </w:style>
  <w:style w:type="character" w:styleId="WWWW8Num1ztrue123456" w:customStyle="1">
    <w:name w:val="WW-WW8Num1ztrue123456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2" w:customStyle="1">
    <w:name w:val="Основной шрифт абзаца2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11" w:customStyle="1">
    <w:name w:val="Основной шрифт абзаца1"/>
    <w:rPr/>
  </w:style>
  <w:style w:type="character" w:styleId="Style13">
    <w:name w:val="Интернет-ссылка"/>
    <w:rPr>
      <w:color w:val="0000FF"/>
      <w:u w:val="single"/>
      <w:lang w:val="zxx" w:eastAsia="zxx" w:bidi="zxx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tyle16" w:customStyle="1">
    <w:name w:val="Верхний колонтитул Знак"/>
    <w:rPr>
      <w:sz w:val="24"/>
      <w:szCs w:val="24"/>
    </w:rPr>
  </w:style>
  <w:style w:type="character" w:styleId="Style17" w:customStyle="1">
    <w:name w:val="Нижний колонтитул Знак"/>
    <w:rPr>
      <w:sz w:val="24"/>
      <w:szCs w:val="24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  <w:jc w:val="center"/>
    </w:pPr>
    <w:rPr>
      <w:sz w:val="32"/>
    </w:rPr>
  </w:style>
  <w:style w:type="paragraph" w:styleId="Style20">
    <w:name w:val="Список"/>
    <w:basedOn w:val="Style19"/>
    <w:pPr/>
    <w:rPr>
      <w:rFonts w:ascii="Arial" w:hAnsi="Arial"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1" w:customStyle="1">
    <w:name w:val="Указатель3"/>
    <w:basedOn w:val="Normal"/>
    <w:pPr>
      <w:suppressLineNumbers/>
    </w:pPr>
    <w:rPr>
      <w:rFonts w:cs="Arial"/>
    </w:rPr>
  </w:style>
  <w:style w:type="paragraph" w:styleId="12" w:customStyle="1">
    <w:name w:val="Заголовок1"/>
    <w:basedOn w:val="Normal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21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3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4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pPr>
      <w:suppressLineNumbers/>
    </w:pPr>
    <w:rPr/>
  </w:style>
  <w:style w:type="paragraph" w:styleId="Style24" w:customStyle="1">
    <w:name w:val="Заголовок таблицы"/>
    <w:basedOn w:val="Style23"/>
    <w:pPr>
      <w:jc w:val="center"/>
    </w:pPr>
    <w:rPr>
      <w:b/>
      <w:bCs/>
    </w:rPr>
  </w:style>
  <w:style w:type="paragraph" w:styleId="Style25" w:customStyle="1">
    <w:name w:val="Текст в заданном формате"/>
    <w:basedOn w:val="Normal"/>
    <w:pPr/>
    <w:rPr>
      <w:rFonts w:ascii="Courier New" w:hAnsi="Courier New" w:eastAsia="NSimSun" w:cs="Courier New"/>
      <w:sz w:val="20"/>
      <w:szCs w:val="20"/>
    </w:rPr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rsid w:val="009a376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Application>LibreOffice/4.3.3.2$Windows_x86 LibreOffice_project/9bb7eadab57b6755b1265afa86e04bf45fbfc644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2019-10-02T13:16:00Z</dcterms:created>
  <dc:creator>ДЕН</dc:creator>
  <dc:language>ru-RU</dc:language>
  <cp:lastPrinted>2018-09-11T07:20:00Z</cp:lastPrinted>
  <dcterms:modified xsi:type="dcterms:W3CDTF">2019-10-21T15:40:23Z</dcterms:modified>
  <cp:revision>4</cp:revision>
  <dc:title>Группа Компаний «КУБОМЕТР»</dc:title>
</cp:coreProperties>
</file>